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F845" w14:textId="0F406FC2" w:rsidR="00937355" w:rsidRPr="00937355" w:rsidRDefault="00E02909" w:rsidP="0093735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Emergency</w:t>
      </w:r>
      <w:r w:rsidR="00933364" w:rsidRPr="006013FF">
        <w:rPr>
          <w:b/>
          <w:sz w:val="32"/>
          <w:u w:val="single"/>
        </w:rPr>
        <w:t xml:space="preserve"> shut down </w:t>
      </w:r>
      <w:r w:rsidR="00D64BE4" w:rsidRPr="006013FF">
        <w:rPr>
          <w:b/>
          <w:sz w:val="32"/>
          <w:u w:val="single"/>
        </w:rPr>
        <w:t>procedure</w:t>
      </w:r>
      <w:r w:rsidR="00937355">
        <w:rPr>
          <w:b/>
          <w:sz w:val="32"/>
          <w:u w:val="single"/>
        </w:rPr>
        <w:t>/checklist</w:t>
      </w:r>
      <w:r w:rsidR="00933364" w:rsidRPr="006013FF">
        <w:rPr>
          <w:b/>
          <w:sz w:val="32"/>
          <w:u w:val="single"/>
        </w:rPr>
        <w:t xml:space="preserve"> </w:t>
      </w:r>
      <w:r w:rsidR="00D64BE4" w:rsidRPr="006013FF">
        <w:rPr>
          <w:b/>
          <w:sz w:val="32"/>
          <w:u w:val="single"/>
        </w:rPr>
        <w:t>for ACME</w:t>
      </w:r>
    </w:p>
    <w:p w14:paraId="5AB34E99" w14:textId="13BDB77D" w:rsidR="00937355" w:rsidRPr="006013FF" w:rsidRDefault="00937355" w:rsidP="00937355">
      <w:pPr>
        <w:rPr>
          <w:b/>
          <w:sz w:val="32"/>
          <w:u w:val="single"/>
        </w:rPr>
      </w:pPr>
      <w:r>
        <w:t xml:space="preserve">(Emergency contact: Xing Wu 617-9971799; Daniel Ang 413-275-2796; Cole </w:t>
      </w:r>
      <w:proofErr w:type="spellStart"/>
      <w:r>
        <w:t>Meisenhelder</w:t>
      </w:r>
      <w:proofErr w:type="spellEnd"/>
      <w:r>
        <w:t xml:space="preserve"> 267-315-1779)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520"/>
        <w:gridCol w:w="4428"/>
      </w:tblGrid>
      <w:tr w:rsidR="00937355" w:rsidRPr="00937355" w14:paraId="7BDAB6CA" w14:textId="77777777" w:rsidTr="00937355">
        <w:trPr>
          <w:jc w:val="center"/>
        </w:trPr>
        <w:tc>
          <w:tcPr>
            <w:tcW w:w="2628" w:type="dxa"/>
          </w:tcPr>
          <w:p w14:paraId="73ACCFF8" w14:textId="1A658089" w:rsidR="00937355" w:rsidRPr="00937355" w:rsidRDefault="00937355">
            <w:pPr>
              <w:rPr>
                <w:b/>
                <w:bCs/>
                <w:color w:val="FF0000"/>
              </w:rPr>
            </w:pPr>
            <w:r w:rsidRPr="00937355">
              <w:rPr>
                <w:b/>
                <w:bCs/>
                <w:color w:val="FF0000"/>
              </w:rPr>
              <w:t>Name</w:t>
            </w:r>
          </w:p>
        </w:tc>
        <w:tc>
          <w:tcPr>
            <w:tcW w:w="2520" w:type="dxa"/>
          </w:tcPr>
          <w:p w14:paraId="47B35F18" w14:textId="027DB5F1" w:rsidR="00937355" w:rsidRPr="00937355" w:rsidRDefault="00937355">
            <w:pPr>
              <w:rPr>
                <w:b/>
                <w:bCs/>
                <w:color w:val="FF0000"/>
              </w:rPr>
            </w:pPr>
            <w:r w:rsidRPr="00937355">
              <w:rPr>
                <w:b/>
                <w:bCs/>
                <w:color w:val="FF0000"/>
              </w:rPr>
              <w:t>Cell phone</w:t>
            </w:r>
          </w:p>
        </w:tc>
        <w:tc>
          <w:tcPr>
            <w:tcW w:w="4428" w:type="dxa"/>
          </w:tcPr>
          <w:p w14:paraId="4753FB41" w14:textId="0B26B440" w:rsidR="00937355" w:rsidRPr="00937355" w:rsidRDefault="00937355">
            <w:pPr>
              <w:rPr>
                <w:b/>
                <w:bCs/>
                <w:color w:val="FF0000"/>
              </w:rPr>
            </w:pPr>
            <w:r w:rsidRPr="00937355">
              <w:rPr>
                <w:b/>
                <w:bCs/>
                <w:color w:val="FF0000"/>
              </w:rPr>
              <w:t>Note</w:t>
            </w:r>
          </w:p>
        </w:tc>
      </w:tr>
      <w:tr w:rsidR="00937355" w:rsidRPr="00937355" w14:paraId="3492B112" w14:textId="77777777" w:rsidTr="00937355">
        <w:trPr>
          <w:jc w:val="center"/>
        </w:trPr>
        <w:tc>
          <w:tcPr>
            <w:tcW w:w="2628" w:type="dxa"/>
          </w:tcPr>
          <w:p w14:paraId="1BACBD7A" w14:textId="249DB5C2" w:rsidR="00937355" w:rsidRPr="00937355" w:rsidRDefault="00937355" w:rsidP="00937355">
            <w:pPr>
              <w:jc w:val="center"/>
              <w:rPr>
                <w:color w:val="FF0000"/>
              </w:rPr>
            </w:pPr>
            <w:r w:rsidRPr="00937355">
              <w:rPr>
                <w:color w:val="FF0000"/>
              </w:rPr>
              <w:t>Xing Wu</w:t>
            </w:r>
          </w:p>
        </w:tc>
        <w:tc>
          <w:tcPr>
            <w:tcW w:w="2520" w:type="dxa"/>
          </w:tcPr>
          <w:p w14:paraId="4CEDB3DB" w14:textId="562DCC76" w:rsidR="00937355" w:rsidRPr="00937355" w:rsidRDefault="00937355" w:rsidP="00937355">
            <w:pPr>
              <w:jc w:val="center"/>
              <w:rPr>
                <w:color w:val="FF0000"/>
              </w:rPr>
            </w:pPr>
            <w:r w:rsidRPr="00937355">
              <w:rPr>
                <w:color w:val="FF0000"/>
              </w:rPr>
              <w:t>617-9971799</w:t>
            </w:r>
          </w:p>
        </w:tc>
        <w:tc>
          <w:tcPr>
            <w:tcW w:w="4428" w:type="dxa"/>
          </w:tcPr>
          <w:p w14:paraId="5619BDC9" w14:textId="77777777" w:rsidR="00937355" w:rsidRPr="00937355" w:rsidRDefault="00937355" w:rsidP="00937355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937355" w:rsidRPr="00937355" w14:paraId="1634BF37" w14:textId="77777777" w:rsidTr="00937355">
        <w:trPr>
          <w:jc w:val="center"/>
        </w:trPr>
        <w:tc>
          <w:tcPr>
            <w:tcW w:w="2628" w:type="dxa"/>
          </w:tcPr>
          <w:p w14:paraId="7A9FCC56" w14:textId="153B8BB1" w:rsidR="00937355" w:rsidRPr="00937355" w:rsidRDefault="00937355" w:rsidP="00937355">
            <w:pPr>
              <w:jc w:val="center"/>
              <w:rPr>
                <w:color w:val="FF0000"/>
              </w:rPr>
            </w:pPr>
            <w:r w:rsidRPr="00937355">
              <w:rPr>
                <w:color w:val="FF0000"/>
              </w:rPr>
              <w:t>Daniel Ang</w:t>
            </w:r>
          </w:p>
        </w:tc>
        <w:tc>
          <w:tcPr>
            <w:tcW w:w="2520" w:type="dxa"/>
          </w:tcPr>
          <w:p w14:paraId="5F6F0669" w14:textId="4FB429D6" w:rsidR="00937355" w:rsidRPr="00937355" w:rsidRDefault="00937355" w:rsidP="00937355">
            <w:pPr>
              <w:jc w:val="center"/>
              <w:rPr>
                <w:color w:val="FF0000"/>
              </w:rPr>
            </w:pPr>
            <w:r w:rsidRPr="00937355">
              <w:rPr>
                <w:color w:val="FF0000"/>
              </w:rPr>
              <w:t>413-275-2796</w:t>
            </w:r>
          </w:p>
        </w:tc>
        <w:tc>
          <w:tcPr>
            <w:tcW w:w="4428" w:type="dxa"/>
          </w:tcPr>
          <w:p w14:paraId="4155DE0F" w14:textId="77777777" w:rsidR="00937355" w:rsidRPr="00937355" w:rsidRDefault="00937355" w:rsidP="00937355">
            <w:pPr>
              <w:jc w:val="center"/>
              <w:rPr>
                <w:color w:val="FF0000"/>
              </w:rPr>
            </w:pPr>
          </w:p>
        </w:tc>
      </w:tr>
      <w:tr w:rsidR="00937355" w:rsidRPr="00937355" w14:paraId="71FA745B" w14:textId="77777777" w:rsidTr="00937355">
        <w:trPr>
          <w:jc w:val="center"/>
        </w:trPr>
        <w:tc>
          <w:tcPr>
            <w:tcW w:w="2628" w:type="dxa"/>
          </w:tcPr>
          <w:p w14:paraId="00986BB0" w14:textId="6A81E93D" w:rsidR="00937355" w:rsidRPr="00937355" w:rsidRDefault="00937355" w:rsidP="00937355">
            <w:pPr>
              <w:jc w:val="center"/>
              <w:rPr>
                <w:color w:val="FF0000"/>
              </w:rPr>
            </w:pPr>
            <w:r w:rsidRPr="00937355">
              <w:rPr>
                <w:color w:val="FF0000"/>
              </w:rPr>
              <w:t xml:space="preserve">Cole </w:t>
            </w:r>
            <w:proofErr w:type="spellStart"/>
            <w:r w:rsidRPr="00937355">
              <w:rPr>
                <w:color w:val="FF0000"/>
              </w:rPr>
              <w:t>Meisenhelder</w:t>
            </w:r>
            <w:proofErr w:type="spellEnd"/>
          </w:p>
        </w:tc>
        <w:tc>
          <w:tcPr>
            <w:tcW w:w="2520" w:type="dxa"/>
          </w:tcPr>
          <w:p w14:paraId="7267F615" w14:textId="5393BF0A" w:rsidR="00937355" w:rsidRPr="00937355" w:rsidRDefault="00937355" w:rsidP="00937355">
            <w:pPr>
              <w:jc w:val="center"/>
              <w:rPr>
                <w:color w:val="FF0000"/>
              </w:rPr>
            </w:pPr>
            <w:r w:rsidRPr="00937355">
              <w:rPr>
                <w:color w:val="FF0000"/>
              </w:rPr>
              <w:t>267-315-1779</w:t>
            </w:r>
          </w:p>
        </w:tc>
        <w:tc>
          <w:tcPr>
            <w:tcW w:w="4428" w:type="dxa"/>
          </w:tcPr>
          <w:p w14:paraId="195877D9" w14:textId="77777777" w:rsidR="00937355" w:rsidRPr="00937355" w:rsidRDefault="00937355" w:rsidP="00937355">
            <w:pPr>
              <w:jc w:val="center"/>
              <w:rPr>
                <w:color w:val="FF0000"/>
              </w:rPr>
            </w:pPr>
          </w:p>
        </w:tc>
      </w:tr>
      <w:tr w:rsidR="00937355" w:rsidRPr="00937355" w14:paraId="485D025C" w14:textId="77777777" w:rsidTr="00937355">
        <w:trPr>
          <w:jc w:val="center"/>
        </w:trPr>
        <w:tc>
          <w:tcPr>
            <w:tcW w:w="2628" w:type="dxa"/>
          </w:tcPr>
          <w:p w14:paraId="304EAD90" w14:textId="77777777" w:rsidR="00937355" w:rsidRPr="00937355" w:rsidRDefault="00937355" w:rsidP="00937355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</w:tcPr>
          <w:p w14:paraId="5565335F" w14:textId="77777777" w:rsidR="00937355" w:rsidRPr="00937355" w:rsidRDefault="00937355" w:rsidP="00937355">
            <w:pPr>
              <w:jc w:val="center"/>
              <w:rPr>
                <w:color w:val="FF0000"/>
              </w:rPr>
            </w:pPr>
          </w:p>
        </w:tc>
        <w:tc>
          <w:tcPr>
            <w:tcW w:w="4428" w:type="dxa"/>
          </w:tcPr>
          <w:p w14:paraId="267096FC" w14:textId="77777777" w:rsidR="00937355" w:rsidRPr="00937355" w:rsidRDefault="00937355" w:rsidP="00937355">
            <w:pPr>
              <w:jc w:val="center"/>
              <w:rPr>
                <w:color w:val="FF0000"/>
              </w:rPr>
            </w:pPr>
          </w:p>
        </w:tc>
      </w:tr>
    </w:tbl>
    <w:p w14:paraId="25662557" w14:textId="77777777" w:rsidR="00937355" w:rsidRPr="00937355" w:rsidRDefault="00937355"/>
    <w:p w14:paraId="41AB3CFC" w14:textId="5CF99D9F" w:rsidR="00D64BE4" w:rsidRDefault="00CE61C1">
      <w:pPr>
        <w:rPr>
          <w:lang w:val="en-GB"/>
        </w:rPr>
      </w:pPr>
      <w:r>
        <w:t>Warm up</w:t>
      </w:r>
      <w:r w:rsidR="00D64BE4">
        <w:rPr>
          <w:lang w:val="en-GB"/>
        </w:rPr>
        <w:t xml:space="preserve"> Beam Box I</w:t>
      </w:r>
      <w:r>
        <w:rPr>
          <w:lang w:val="en-GB"/>
        </w:rPr>
        <w:t xml:space="preserve"> &amp; II</w:t>
      </w:r>
    </w:p>
    <w:p w14:paraId="21FBCE04" w14:textId="294E072E" w:rsid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>Stop the buffer gas flow and YAG.</w:t>
      </w:r>
      <w:r w:rsidR="00793D2B">
        <w:rPr>
          <w:rFonts w:ascii="Arial" w:eastAsia="Times New Roman" w:hAnsi="Arial" w:cs="Arial"/>
          <w:color w:val="252525"/>
          <w:sz w:val="21"/>
          <w:szCs w:val="21"/>
        </w:rPr>
        <w:t xml:space="preserve"> On BBII, the Neon flow is stopped by a manual switch. Shut down YAG. On BBI, turn off the house cooling water line for YAG.</w:t>
      </w:r>
    </w:p>
    <w:p w14:paraId="70A61B9D" w14:textId="7B1EC411" w:rsidR="00F926BE" w:rsidRPr="00D64BE4" w:rsidRDefault="00F926BE" w:rsidP="00F926BE">
      <w:p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val="en-GB"/>
        </w:rPr>
        <w:drawing>
          <wp:inline distT="0" distB="0" distL="0" distR="0" wp14:anchorId="4951487E" wp14:editId="74713420">
            <wp:extent cx="4114800" cy="237972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2C25" w14:textId="77777777" w:rsidR="00D64BE4" w:rsidRP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>Close the gate valves between the beam box and the stem and between the stem and the interaction region.</w:t>
      </w:r>
    </w:p>
    <w:p w14:paraId="3179663A" w14:textId="58BE5046" w:rsidR="00D64BE4" w:rsidRP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Turn off the ion sweeper on the Beam Box Ablation and Timing VI. </w:t>
      </w:r>
      <w:r w:rsidR="00CE61C1">
        <w:rPr>
          <w:rFonts w:ascii="Arial" w:eastAsia="Times New Roman" w:hAnsi="Arial" w:cs="Arial"/>
          <w:color w:val="252525"/>
          <w:sz w:val="21"/>
          <w:szCs w:val="21"/>
        </w:rPr>
        <w:t>(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>After doing so, the measured voltage will be around "9V"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in BBI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>.</w:t>
      </w:r>
      <w:r w:rsidR="00F926BE">
        <w:rPr>
          <w:rFonts w:ascii="Arial" w:eastAsia="Times New Roman" w:hAnsi="Arial" w:cs="Arial"/>
          <w:color w:val="252525"/>
          <w:sz w:val="21"/>
          <w:szCs w:val="21"/>
        </w:rPr>
        <w:t xml:space="preserve"> No ion sweeper for BBII at the moment.</w:t>
      </w:r>
      <w:r w:rsidR="00CE61C1">
        <w:rPr>
          <w:rFonts w:ascii="Arial" w:eastAsia="Times New Roman" w:hAnsi="Arial" w:cs="Arial"/>
          <w:color w:val="252525"/>
          <w:sz w:val="21"/>
          <w:szCs w:val="21"/>
        </w:rPr>
        <w:t>)</w:t>
      </w:r>
    </w:p>
    <w:p w14:paraId="1953904C" w14:textId="0CB650BE" w:rsidR="00D64BE4" w:rsidRP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Switch on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the Agilent </w:t>
      </w:r>
      <w:proofErr w:type="spellStart"/>
      <w:r w:rsidRPr="00D64BE4">
        <w:rPr>
          <w:rFonts w:ascii="Arial" w:eastAsia="Times New Roman" w:hAnsi="Arial" w:cs="Arial"/>
          <w:color w:val="252525"/>
          <w:sz w:val="21"/>
          <w:szCs w:val="21"/>
        </w:rPr>
        <w:t>Triscroll</w:t>
      </w:r>
      <w:proofErr w:type="spellEnd"/>
      <w:r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pump located on the west side of the </w:t>
      </w:r>
      <w:r w:rsidR="00CE61C1">
        <w:rPr>
          <w:rFonts w:ascii="Arial" w:eastAsia="Times New Roman" w:hAnsi="Arial" w:cs="Arial"/>
          <w:color w:val="252525"/>
          <w:sz w:val="21"/>
          <w:szCs w:val="21"/>
        </w:rPr>
        <w:t>B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eam </w:t>
      </w:r>
      <w:r w:rsidR="00CE61C1">
        <w:rPr>
          <w:rFonts w:ascii="Arial" w:eastAsia="Times New Roman" w:hAnsi="Arial" w:cs="Arial"/>
          <w:color w:val="252525"/>
          <w:sz w:val="21"/>
          <w:szCs w:val="21"/>
        </w:rPr>
        <w:t>B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>ox</w:t>
      </w:r>
      <w:r w:rsidR="00CE61C1">
        <w:rPr>
          <w:rFonts w:ascii="Arial" w:eastAsia="Times New Roman" w:hAnsi="Arial" w:cs="Arial"/>
          <w:color w:val="252525"/>
          <w:sz w:val="21"/>
          <w:szCs w:val="21"/>
        </w:rPr>
        <w:t xml:space="preserve"> I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>.</w:t>
      </w:r>
      <w:r w:rsidR="00CE61C1">
        <w:rPr>
          <w:rFonts w:ascii="Arial" w:eastAsia="Times New Roman" w:hAnsi="Arial" w:cs="Arial"/>
          <w:color w:val="252525"/>
          <w:sz w:val="21"/>
          <w:szCs w:val="21"/>
        </w:rPr>
        <w:t xml:space="preserve"> (for BBII, under the beam box.)</w:t>
      </w:r>
    </w:p>
    <w:p w14:paraId="35D36331" w14:textId="1DC31EE6" w:rsidR="00D64BE4" w:rsidRPr="00D64BE4" w:rsidRDefault="00793D2B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Spin down</w:t>
      </w:r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both stem turbopumps.</w:t>
      </w:r>
    </w:p>
    <w:p w14:paraId="09910F65" w14:textId="77777777" w:rsidR="00D64BE4" w:rsidRP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When the pressure gauge on the beam box roughing line reads less than 10 </w:t>
      </w:r>
      <w:proofErr w:type="spellStart"/>
      <w:r w:rsidRPr="00D64BE4">
        <w:rPr>
          <w:rFonts w:ascii="Arial" w:eastAsia="Times New Roman" w:hAnsi="Arial" w:cs="Arial"/>
          <w:color w:val="252525"/>
          <w:sz w:val="21"/>
          <w:szCs w:val="21"/>
        </w:rPr>
        <w:t>mTorr</w:t>
      </w:r>
      <w:proofErr w:type="spellEnd"/>
      <w:r w:rsidRPr="00D64BE4">
        <w:rPr>
          <w:rFonts w:ascii="Arial" w:eastAsia="Times New Roman" w:hAnsi="Arial" w:cs="Arial"/>
          <w:color w:val="252525"/>
          <w:sz w:val="21"/>
          <w:szCs w:val="21"/>
        </w:rPr>
        <w:t>, open the gate valve on TOP of the beam box leading to the roughing line.</w:t>
      </w:r>
    </w:p>
    <w:p w14:paraId="1D0838D6" w14:textId="58EBD684" w:rsidR="00D64BE4" w:rsidRP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>Turn the pulse tube compressor</w:t>
      </w:r>
      <w:r w:rsidR="00CE61C1">
        <w:rPr>
          <w:rFonts w:ascii="Arial" w:eastAsia="Times New Roman" w:hAnsi="Arial" w:cs="Arial"/>
          <w:color w:val="252525"/>
          <w:sz w:val="21"/>
          <w:szCs w:val="21"/>
        </w:rPr>
        <w:t>s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off by pressing the black OFF button</w:t>
      </w:r>
      <w:r w:rsidR="00CE61C1">
        <w:rPr>
          <w:rFonts w:ascii="Arial" w:eastAsia="Times New Roman" w:hAnsi="Arial" w:cs="Arial"/>
          <w:color w:val="252525"/>
          <w:sz w:val="21"/>
          <w:szCs w:val="21"/>
        </w:rPr>
        <w:t>s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5F79247C" w14:textId="77777777" w:rsidR="00D64BE4" w:rsidRP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>Set the cell heater's "YAG off" voltage to 40 V.</w:t>
      </w:r>
    </w:p>
    <w:p w14:paraId="45799279" w14:textId="77777777" w:rsidR="00D64BE4" w:rsidRP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>The pressure will spike to around a few Torr, then start dropping.</w:t>
      </w:r>
    </w:p>
    <w:p w14:paraId="63F4F53C" w14:textId="32BA1044" w:rsidR="00D64BE4" w:rsidRPr="00D64BE4" w:rsidRDefault="00D64BE4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Once the beam box pressure is below 100 </w:t>
      </w:r>
      <w:proofErr w:type="spellStart"/>
      <w:r w:rsidRPr="00D64BE4">
        <w:rPr>
          <w:rFonts w:ascii="Arial" w:eastAsia="Times New Roman" w:hAnsi="Arial" w:cs="Arial"/>
          <w:color w:val="252525"/>
          <w:sz w:val="21"/>
          <w:szCs w:val="21"/>
        </w:rPr>
        <w:t>mTorr</w:t>
      </w:r>
      <w:proofErr w:type="spellEnd"/>
      <w:r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(~40 minutes</w:t>
      </w:r>
      <w:r w:rsidR="00793D2B">
        <w:rPr>
          <w:rFonts w:ascii="Arial" w:eastAsia="Times New Roman" w:hAnsi="Arial" w:cs="Arial"/>
          <w:color w:val="252525"/>
          <w:sz w:val="21"/>
          <w:szCs w:val="21"/>
        </w:rPr>
        <w:t xml:space="preserve"> depending on the amount of Ne ice</w:t>
      </w:r>
      <w:r w:rsidRPr="00D64BE4">
        <w:rPr>
          <w:rFonts w:ascii="Arial" w:eastAsia="Times New Roman" w:hAnsi="Arial" w:cs="Arial"/>
          <w:color w:val="252525"/>
          <w:sz w:val="21"/>
          <w:szCs w:val="21"/>
        </w:rPr>
        <w:t>), set the cell heater voltage to 0 V.</w:t>
      </w:r>
    </w:p>
    <w:p w14:paraId="52E84C35" w14:textId="05E0729D" w:rsidR="00D64BE4" w:rsidRPr="00D64BE4" w:rsidRDefault="00793D2B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C</w:t>
      </w:r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>lose the gate valve between the beam box</w:t>
      </w:r>
      <w:r>
        <w:rPr>
          <w:rFonts w:ascii="Arial" w:eastAsia="Times New Roman" w:hAnsi="Arial" w:cs="Arial"/>
          <w:color w:val="252525"/>
          <w:sz w:val="21"/>
          <w:szCs w:val="21"/>
        </w:rPr>
        <w:t>es</w:t>
      </w:r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and the </w:t>
      </w:r>
      <w:proofErr w:type="spellStart"/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>Triscroll</w:t>
      </w:r>
      <w:proofErr w:type="spellEnd"/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pump</w:t>
      </w:r>
      <w:r>
        <w:rPr>
          <w:rFonts w:ascii="Arial" w:eastAsia="Times New Roman" w:hAnsi="Arial" w:cs="Arial"/>
          <w:color w:val="252525"/>
          <w:sz w:val="21"/>
          <w:szCs w:val="21"/>
        </w:rPr>
        <w:t>s</w:t>
      </w:r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34C07BC6" w14:textId="7AF6BBF3" w:rsidR="00D64BE4" w:rsidRPr="00D64BE4" w:rsidRDefault="00793D2B" w:rsidP="00D64BE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Switch off</w:t>
      </w:r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the Agilent </w:t>
      </w:r>
      <w:proofErr w:type="spellStart"/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>Triscroll</w:t>
      </w:r>
      <w:proofErr w:type="spellEnd"/>
      <w:r w:rsidR="00D64BE4" w:rsidRPr="00D64BE4">
        <w:rPr>
          <w:rFonts w:ascii="Arial" w:eastAsia="Times New Roman" w:hAnsi="Arial" w:cs="Arial"/>
          <w:color w:val="252525"/>
          <w:sz w:val="21"/>
          <w:szCs w:val="21"/>
        </w:rPr>
        <w:t xml:space="preserve"> scroll pump.</w:t>
      </w:r>
    </w:p>
    <w:p w14:paraId="37C12867" w14:textId="34E73E16" w:rsidR="00D64BE4" w:rsidRDefault="00D64BE4" w:rsidP="00793D2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21"/>
          <w:szCs w:val="21"/>
        </w:rPr>
      </w:pPr>
      <w:r w:rsidRPr="00D64BE4">
        <w:rPr>
          <w:rFonts w:ascii="Arial" w:eastAsia="Times New Roman" w:hAnsi="Arial" w:cs="Arial"/>
          <w:color w:val="252525"/>
          <w:sz w:val="21"/>
          <w:szCs w:val="21"/>
        </w:rPr>
        <w:t>Update the deice date on the whiteboard on the door.</w:t>
      </w:r>
      <w:r w:rsidR="00793D2B">
        <w:rPr>
          <w:rFonts w:ascii="Arial" w:eastAsia="Times New Roman" w:hAnsi="Arial" w:cs="Arial"/>
          <w:color w:val="252525"/>
          <w:sz w:val="21"/>
          <w:szCs w:val="21"/>
        </w:rPr>
        <w:t xml:space="preserve"> Allow both beam boxes to come to room temperature under vacuum.</w:t>
      </w:r>
    </w:p>
    <w:p w14:paraId="2D25A752" w14:textId="071D9296" w:rsidR="00D5668E" w:rsidRPr="009A0FEB" w:rsidRDefault="00793D2B" w:rsidP="009A0FE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lastRenderedPageBreak/>
        <w:t>Laser systems</w:t>
      </w:r>
    </w:p>
    <w:p w14:paraId="7287E98E" w14:textId="77777777" w:rsidR="00E02909" w:rsidRDefault="00E02909" w:rsidP="00E0290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M</w:t>
      </w:r>
      <w:r>
        <w:rPr>
          <w:rFonts w:ascii="Arial" w:eastAsia="Times New Roman" w:hAnsi="Arial" w:cs="Arial"/>
          <w:color w:val="252525"/>
          <w:sz w:val="21"/>
          <w:szCs w:val="21"/>
          <w:vertAlign w:val="superscript"/>
        </w:rPr>
        <w:t>2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laser</w:t>
      </w:r>
    </w:p>
    <w:p w14:paraId="6317DC9A" w14:textId="7F20EA29" w:rsidR="00E02909" w:rsidRDefault="00E02909" w:rsidP="00E0290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Close shutter on Sprout Pump. </w:t>
      </w:r>
    </w:p>
    <w:p w14:paraId="2576EF11" w14:textId="77777777" w:rsidR="00E02909" w:rsidRDefault="00E02909" w:rsidP="00E0290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Turn off Sprout power by pressing the knob, then turning the key to standby mode. </w:t>
      </w:r>
    </w:p>
    <w:p w14:paraId="5ED1B58A" w14:textId="45FFBDCB" w:rsidR="00E02909" w:rsidRPr="00E02909" w:rsidRDefault="00E02909" w:rsidP="00E02909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Shut off M^2 chiller below the North optics table.</w:t>
      </w:r>
    </w:p>
    <w:p w14:paraId="034987EC" w14:textId="24B56ADF" w:rsidR="00D5668E" w:rsidRDefault="00D5668E" w:rsidP="00793D2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Diode lasers /Tapered Amplifiers:</w:t>
      </w:r>
    </w:p>
    <w:p w14:paraId="12103329" w14:textId="338A51EB" w:rsidR="00D5668E" w:rsidRDefault="00D5668E" w:rsidP="00D5668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Turn off diode and TA current controls, </w:t>
      </w:r>
    </w:p>
    <w:p w14:paraId="1F092276" w14:textId="6F5447B4" w:rsidR="00D5668E" w:rsidRDefault="00D5668E" w:rsidP="00D5668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Note TEC/temperature settings of all ECDLs and TAs and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and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leave the TEC/temperature controls ON.</w:t>
      </w:r>
    </w:p>
    <w:p w14:paraId="244B3E99" w14:textId="123BD8EA" w:rsidR="00D5668E" w:rsidRDefault="00D5668E" w:rsidP="00D5668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Iodine clock:</w:t>
      </w:r>
    </w:p>
    <w:p w14:paraId="6B1B2526" w14:textId="1D116E11" w:rsidR="00D5668E" w:rsidRDefault="00E96867" w:rsidP="00D5668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Unlock the Iodine line, and t</w:t>
      </w:r>
      <w:r w:rsidR="00D5668E">
        <w:rPr>
          <w:rFonts w:ascii="Arial" w:eastAsia="Times New Roman" w:hAnsi="Arial" w:cs="Arial"/>
          <w:color w:val="252525"/>
          <w:sz w:val="21"/>
          <w:szCs w:val="21"/>
        </w:rPr>
        <w:t>urn off TEC control</w:t>
      </w:r>
      <w:r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76B0A650" w14:textId="7E393376" w:rsidR="00D5668E" w:rsidRDefault="00E96867" w:rsidP="00D5668E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Turn off chiller</w:t>
      </w:r>
      <w:r w:rsidR="00D5668E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3CFD6810" w14:textId="153DCDB6" w:rsidR="00E96867" w:rsidRDefault="00E96867" w:rsidP="00E968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ULE cavities:</w:t>
      </w:r>
    </w:p>
    <w:p w14:paraId="7F097C7B" w14:textId="5128608A" w:rsidR="00E96867" w:rsidRDefault="00E96867" w:rsidP="00E9686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Note the temperature and pressure</w:t>
      </w:r>
    </w:p>
    <w:p w14:paraId="183C5AA3" w14:textId="0B1F3D20" w:rsidR="00E96867" w:rsidRPr="00E96867" w:rsidRDefault="00E96867" w:rsidP="00E9686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Leave the TEC on and ion pump on (the ion pumps turn themselves off above pressure threshold).</w:t>
      </w:r>
    </w:p>
    <w:p w14:paraId="13944484" w14:textId="6A5ACA52" w:rsidR="00D5668E" w:rsidRDefault="00E96867" w:rsidP="00E9686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Water handling</w:t>
      </w:r>
    </w:p>
    <w:p w14:paraId="3810901E" w14:textId="71AD1A2A" w:rsidR="00E96867" w:rsidRDefault="00E96867" w:rsidP="00E9686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Switch off YAG house cooling water lines.</w:t>
      </w:r>
    </w:p>
    <w:p w14:paraId="18D1A17A" w14:textId="1B4D0252" w:rsidR="00E96867" w:rsidRDefault="00E96867" w:rsidP="00E9686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Make sure three compressors are all off (2 for BBII, 1 for BBI). Switch off the 3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Optitemps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in G16. </w:t>
      </w:r>
    </w:p>
    <w:p w14:paraId="7022E0C2" w14:textId="47A94D37" w:rsidR="009A0FEB" w:rsidRDefault="009A0FEB" w:rsidP="009A0FEB">
      <w:pPr>
        <w:pStyle w:val="ListParagraph"/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val="en-GB"/>
        </w:rPr>
        <w:drawing>
          <wp:inline distT="0" distB="0" distL="0" distR="0" wp14:anchorId="0515633D" wp14:editId="3C9D8E89">
            <wp:extent cx="4615188" cy="3486150"/>
            <wp:effectExtent l="0" t="0" r="0" b="0"/>
            <wp:docPr id="4" name="Picture 4" descr="C:\Users\Admin\AppData\Local\Microsoft\Windows\Temporary Internet Files\Content.Word\IMG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IMG_0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68" cy="349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A777" w14:textId="77777777" w:rsidR="009A0FEB" w:rsidRDefault="009A0FEB" w:rsidP="009A0FEB">
      <w:pPr>
        <w:pStyle w:val="ListParagraph"/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</w:p>
    <w:p w14:paraId="456DB9B2" w14:textId="7E8E94E3" w:rsidR="00F926BE" w:rsidRPr="009A0FEB" w:rsidRDefault="00E96867" w:rsidP="00F926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Turn off house water line to all three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Optitemps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5E8D013F" w14:textId="7A6956E7" w:rsidR="009A0FEB" w:rsidRPr="00F926BE" w:rsidRDefault="009A0FEB" w:rsidP="00F926B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noProof/>
          <w:lang w:val="en-GB"/>
        </w:rPr>
        <w:lastRenderedPageBreak/>
        <w:drawing>
          <wp:inline distT="0" distB="0" distL="0" distR="0" wp14:anchorId="0AF5388B" wp14:editId="5F2908B0">
            <wp:extent cx="3933825" cy="2950369"/>
            <wp:effectExtent l="0" t="0" r="0" b="2540"/>
            <wp:docPr id="3" name="Picture 3" descr="C:\Users\Admin\AppData\Local\Microsoft\Windows\Temporary Internet Files\Content.Word\IMG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_0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AAC3E" w14:textId="204A16C9" w:rsidR="00E96867" w:rsidRPr="00E96867" w:rsidRDefault="00E96867" w:rsidP="00E9686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Turn off all portable water chillers.</w:t>
      </w:r>
    </w:p>
    <w:p w14:paraId="0F4FC066" w14:textId="2DFC94D5" w:rsidR="00D5668E" w:rsidRDefault="00E96867" w:rsidP="00D5668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Gas handling system</w:t>
      </w:r>
    </w:p>
    <w:p w14:paraId="4DE6804D" w14:textId="2ABF6085" w:rsidR="00E96867" w:rsidRDefault="00E96867" w:rsidP="00E968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Close all valves on the beam box panels, and gas cylinders</w:t>
      </w:r>
    </w:p>
    <w:p w14:paraId="0AE6A443" w14:textId="7AC35F03" w:rsidR="00E96867" w:rsidRDefault="00E96867" w:rsidP="00E968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Close all valves on the </w:t>
      </w:r>
      <w:r w:rsidR="00A039C4">
        <w:rPr>
          <w:rFonts w:ascii="Arial" w:eastAsia="Times New Roman" w:hAnsi="Arial" w:cs="Arial"/>
          <w:color w:val="252525"/>
          <w:sz w:val="21"/>
          <w:szCs w:val="21"/>
        </w:rPr>
        <w:t>gas handling panels in pump room (g16), and the gas cylinders there.</w:t>
      </w:r>
    </w:p>
    <w:p w14:paraId="3420FC83" w14:textId="5C2FCC4C" w:rsidR="00A039C4" w:rsidRDefault="00A039C4" w:rsidP="00E9686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Close all valves on the house gas lines.</w:t>
      </w:r>
    </w:p>
    <w:p w14:paraId="30BD5687" w14:textId="498AA9B7" w:rsidR="00A039C4" w:rsidRDefault="00A039C4" w:rsidP="00A039C4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Computers</w:t>
      </w:r>
    </w:p>
    <w:p w14:paraId="679D9E81" w14:textId="1EA6EA68" w:rsidR="00A039C4" w:rsidRDefault="00A039C4" w:rsidP="00A039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Save all documents</w:t>
      </w:r>
    </w:p>
    <w:p w14:paraId="047B4EDC" w14:textId="4899BE38" w:rsidR="00A039C4" w:rsidRDefault="00A039C4" w:rsidP="00A039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Save all data and experimental control software on ACME storage drive</w:t>
      </w:r>
    </w:p>
    <w:p w14:paraId="4D234E26" w14:textId="3E41CC90" w:rsidR="00A039C4" w:rsidRPr="00A039C4" w:rsidRDefault="00A039C4" w:rsidP="00A039C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Close any unnecessary tabs.</w:t>
      </w:r>
    </w:p>
    <w:p w14:paraId="717ECB03" w14:textId="77777777" w:rsidR="00D64BE4" w:rsidRPr="00D64BE4" w:rsidRDefault="00D64BE4">
      <w:pPr>
        <w:rPr>
          <w:lang w:val="en-GB"/>
        </w:rPr>
      </w:pPr>
    </w:p>
    <w:sectPr w:rsidR="00D64BE4" w:rsidRPr="00D6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4A46"/>
    <w:multiLevelType w:val="hybridMultilevel"/>
    <w:tmpl w:val="BD4EC966"/>
    <w:lvl w:ilvl="0" w:tplc="49DAB5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D4D"/>
    <w:multiLevelType w:val="hybridMultilevel"/>
    <w:tmpl w:val="5F42F940"/>
    <w:lvl w:ilvl="0" w:tplc="49DAB5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5164"/>
    <w:multiLevelType w:val="multilevel"/>
    <w:tmpl w:val="95EAA8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D1A86"/>
    <w:multiLevelType w:val="hybridMultilevel"/>
    <w:tmpl w:val="EC9A7E94"/>
    <w:lvl w:ilvl="0" w:tplc="49DAB5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9DAB5D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828"/>
    <w:multiLevelType w:val="hybridMultilevel"/>
    <w:tmpl w:val="1A9E80EE"/>
    <w:lvl w:ilvl="0" w:tplc="49DAB5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364"/>
    <w:rsid w:val="005661A2"/>
    <w:rsid w:val="006013FF"/>
    <w:rsid w:val="00793D2B"/>
    <w:rsid w:val="00861A84"/>
    <w:rsid w:val="00933364"/>
    <w:rsid w:val="00937355"/>
    <w:rsid w:val="009A0FEB"/>
    <w:rsid w:val="00A039C4"/>
    <w:rsid w:val="00A353AA"/>
    <w:rsid w:val="00A91FC9"/>
    <w:rsid w:val="00CE61C1"/>
    <w:rsid w:val="00D5668E"/>
    <w:rsid w:val="00D64BE4"/>
    <w:rsid w:val="00E02909"/>
    <w:rsid w:val="00E96867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8C64"/>
  <w15:docId w15:val="{02D082F7-06C4-4BE4-BED3-05FB2567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93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CE8A-2B8A-4F24-9BB9-4D70DD60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Wu</dc:creator>
  <cp:lastModifiedBy>Xing Wu</cp:lastModifiedBy>
  <cp:revision>8</cp:revision>
  <cp:lastPrinted>2020-03-12T02:52:00Z</cp:lastPrinted>
  <dcterms:created xsi:type="dcterms:W3CDTF">2020-03-11T02:33:00Z</dcterms:created>
  <dcterms:modified xsi:type="dcterms:W3CDTF">2020-03-12T02:57:00Z</dcterms:modified>
</cp:coreProperties>
</file>